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F1B03" w:rsidRPr="005D25E8" w:rsidRDefault="005D25E8" w:rsidP="0003235B">
      <w:pPr>
        <w:ind w:left="7200"/>
        <w:rPr>
          <w:sz w:val="28"/>
          <w:szCs w:val="28"/>
        </w:rPr>
      </w:pPr>
      <w:r>
        <w:rPr>
          <w:sz w:val="28"/>
          <w:szCs w:val="28"/>
        </w:rPr>
        <w:t>9</w:t>
      </w:r>
      <w:r w:rsidR="000E0CDD">
        <w:rPr>
          <w:sz w:val="28"/>
          <w:szCs w:val="28"/>
          <w:lang w:val="el-GR"/>
        </w:rPr>
        <w:t>/</w:t>
      </w:r>
      <w:r>
        <w:rPr>
          <w:sz w:val="28"/>
          <w:szCs w:val="28"/>
        </w:rPr>
        <w:t>1</w:t>
      </w:r>
      <w:r w:rsidR="00561C3F" w:rsidRPr="00E918D9">
        <w:rPr>
          <w:sz w:val="28"/>
          <w:szCs w:val="28"/>
          <w:lang w:val="el-GR"/>
        </w:rPr>
        <w:t>/</w:t>
      </w:r>
      <w:r w:rsidR="00BC3639" w:rsidRPr="00E918D9">
        <w:rPr>
          <w:sz w:val="28"/>
          <w:szCs w:val="28"/>
          <w:lang w:val="el-GR"/>
        </w:rPr>
        <w:t>20</w:t>
      </w:r>
      <w:r w:rsidR="00561C3F" w:rsidRPr="00E918D9">
        <w:rPr>
          <w:sz w:val="28"/>
          <w:szCs w:val="28"/>
          <w:lang w:val="el-GR"/>
        </w:rPr>
        <w:t>1</w:t>
      </w:r>
      <w:r>
        <w:rPr>
          <w:sz w:val="28"/>
          <w:szCs w:val="28"/>
        </w:rPr>
        <w:t>7</w:t>
      </w:r>
      <w:bookmarkStart w:id="0" w:name="_GoBack"/>
      <w:bookmarkEnd w:id="0"/>
    </w:p>
    <w:p w:rsidR="00AF2D03" w:rsidRPr="00074809" w:rsidRDefault="00AF2D03" w:rsidP="00AF2D03">
      <w:pPr>
        <w:spacing w:line="192" w:lineRule="auto"/>
        <w:ind w:right="-1049"/>
        <w:rPr>
          <w:rFonts w:cs="Calibri"/>
          <w:b/>
          <w:spacing w:val="24"/>
          <w:sz w:val="32"/>
          <w:szCs w:val="32"/>
          <w:lang w:val="el-GR"/>
        </w:rPr>
      </w:pPr>
      <w:r w:rsidRPr="00074809">
        <w:rPr>
          <w:rFonts w:cs="Calibri"/>
          <w:b/>
          <w:spacing w:val="24"/>
          <w:sz w:val="32"/>
          <w:szCs w:val="32"/>
          <w:lang w:val="el-GR"/>
        </w:rPr>
        <w:t xml:space="preserve">                                      </w:t>
      </w:r>
    </w:p>
    <w:p w:rsidR="001F6756" w:rsidRPr="001F6756" w:rsidRDefault="00AF2D03" w:rsidP="00AF2D03">
      <w:pPr>
        <w:spacing w:line="192" w:lineRule="auto"/>
        <w:ind w:right="-1049"/>
        <w:rPr>
          <w:rFonts w:cs="Calibri"/>
          <w:b/>
          <w:spacing w:val="24"/>
          <w:sz w:val="32"/>
          <w:szCs w:val="32"/>
          <w:lang w:val="el-GR"/>
        </w:rPr>
      </w:pPr>
      <w:r w:rsidRPr="00074809">
        <w:rPr>
          <w:rFonts w:cs="Calibri"/>
          <w:b/>
          <w:spacing w:val="24"/>
          <w:sz w:val="32"/>
          <w:szCs w:val="32"/>
          <w:lang w:val="el-GR"/>
        </w:rPr>
        <w:t xml:space="preserve">                                        </w:t>
      </w:r>
    </w:p>
    <w:p w:rsidR="004F1B03" w:rsidRPr="00074809" w:rsidRDefault="0003235B" w:rsidP="001F6756">
      <w:pPr>
        <w:spacing w:line="192" w:lineRule="auto"/>
        <w:ind w:right="-1049"/>
        <w:jc w:val="center"/>
        <w:rPr>
          <w:rFonts w:cs="Calibri"/>
          <w:b/>
          <w:spacing w:val="24"/>
          <w:sz w:val="32"/>
          <w:szCs w:val="32"/>
          <w:lang w:val="el-GR"/>
        </w:rPr>
      </w:pPr>
      <w:r w:rsidRPr="000E0CDD">
        <w:rPr>
          <w:rFonts w:cs="Calibri"/>
          <w:b/>
          <w:spacing w:val="24"/>
          <w:sz w:val="32"/>
          <w:szCs w:val="32"/>
          <w:lang w:val="el-GR"/>
        </w:rPr>
        <w:t>ΔΕΛΤΙΟ ΤΥΠΟΥ</w:t>
      </w:r>
    </w:p>
    <w:p w:rsidR="002A0620" w:rsidRPr="001F6756" w:rsidRDefault="002A0620" w:rsidP="000E0CDD">
      <w:pPr>
        <w:tabs>
          <w:tab w:val="num" w:pos="720"/>
        </w:tabs>
        <w:jc w:val="both"/>
        <w:rPr>
          <w:rFonts w:cstheme="minorHAnsi"/>
          <w:color w:val="000000"/>
          <w:sz w:val="28"/>
          <w:szCs w:val="28"/>
          <w:lang w:val="el-GR"/>
        </w:rPr>
      </w:pPr>
    </w:p>
    <w:p w:rsidR="005D25E8" w:rsidRPr="005D25E8" w:rsidRDefault="005D25E8" w:rsidP="005D25E8">
      <w:pPr>
        <w:rPr>
          <w:sz w:val="24"/>
          <w:szCs w:val="24"/>
          <w:lang w:val="el-GR"/>
        </w:rPr>
      </w:pPr>
      <w:r w:rsidRPr="005D25E8">
        <w:rPr>
          <w:sz w:val="24"/>
          <w:szCs w:val="24"/>
          <w:lang w:val="el-GR"/>
        </w:rPr>
        <w:t>1.Το Πρόγραμμα εξόφλησης των οφειλών σε 36 δόσεις χωρίς προκαταβολή, που διήρκεσε 9 μήνες, από 01.04.2016, ολοκληρώθηκε σήμερα με σημαντική επιτυχία.</w:t>
      </w:r>
    </w:p>
    <w:p w:rsidR="005D25E8" w:rsidRPr="005D25E8" w:rsidRDefault="005D25E8" w:rsidP="005D25E8">
      <w:pPr>
        <w:rPr>
          <w:sz w:val="24"/>
          <w:szCs w:val="24"/>
          <w:lang w:val="el-GR"/>
        </w:rPr>
      </w:pPr>
      <w:r w:rsidRPr="005D25E8">
        <w:rPr>
          <w:sz w:val="24"/>
          <w:szCs w:val="24"/>
          <w:lang w:val="el-GR"/>
        </w:rPr>
        <w:t xml:space="preserve">Συνολικά διακανόνισαν τις οφειλές τους 625.000 καταναλωτές, με συνολικό διακανονισθέν ποσό ύψους 1,3 δισ. ευρώ (αφορά μόνο  χρέωση ηλεκτρικής ενέργειας χωρίς ποσά υπέρ τρίτων). Το ποσό αυτό αντιστοιχεί στο 75% περίπου του συνολικού ποσού που οφείλουν οι πελάτες Μέσης και Χαμηλής Τάσης και το οποίο αφορούσε το Πρόγραμμα. </w:t>
      </w:r>
    </w:p>
    <w:p w:rsidR="005D25E8" w:rsidRPr="005D25E8" w:rsidRDefault="005D25E8" w:rsidP="005D25E8">
      <w:pPr>
        <w:rPr>
          <w:sz w:val="24"/>
          <w:szCs w:val="24"/>
          <w:lang w:val="el-GR"/>
        </w:rPr>
      </w:pPr>
      <w:r w:rsidRPr="005D25E8">
        <w:rPr>
          <w:sz w:val="24"/>
          <w:szCs w:val="24"/>
          <w:lang w:val="el-GR"/>
        </w:rPr>
        <w:t>Η Διοίκηση της ΔΕΗ εκφράζει κατ’ αρχάς την ικανοποίηση της, και παράλληλα επισημαίνει το γεγονός της μη ρύθμισης του υπόλοιπου 25% για το οποίο θα ληφθούν τα κατάλληλα μέτρα.</w:t>
      </w:r>
    </w:p>
    <w:p w:rsidR="005D25E8" w:rsidRPr="005D25E8" w:rsidRDefault="005D25E8" w:rsidP="005D25E8">
      <w:pPr>
        <w:rPr>
          <w:sz w:val="24"/>
          <w:szCs w:val="24"/>
          <w:lang w:val="el-GR"/>
        </w:rPr>
      </w:pPr>
      <w:r w:rsidRPr="005D25E8">
        <w:rPr>
          <w:sz w:val="24"/>
          <w:szCs w:val="24"/>
          <w:lang w:val="el-GR"/>
        </w:rPr>
        <w:t xml:space="preserve">2. Για τους πελάτες, οι οποίοι την 31.01.2017 θα έχουν οφειλή μικρότερη των 500 ευρώ το ΔΣ αποφάσισε την </w:t>
      </w:r>
      <w:r w:rsidRPr="005D25E8">
        <w:rPr>
          <w:sz w:val="24"/>
          <w:szCs w:val="24"/>
          <w:u w:val="single"/>
          <w:lang w:val="el-GR"/>
        </w:rPr>
        <w:t xml:space="preserve">αναστολή πληρωμής </w:t>
      </w:r>
      <w:r w:rsidRPr="005D25E8">
        <w:rPr>
          <w:sz w:val="24"/>
          <w:szCs w:val="24"/>
          <w:lang w:val="el-GR"/>
        </w:rPr>
        <w:t>του χρέους αυτού μέχρι 31.12.2017 και τη χορήγηση έκπτωσης 10% στους τρέχοντες λογαριασμούς, υπό την προϋπόθεση ότι θα τους εξοφλούν εμπρόθεσμα.  Η ρύθμιση αυτή αφορά 1.150.000 πελάτες περίπου με συνολική οφειλή περίπου 130 εκατ. ευρώ. Για να ενταχθούν στο Πρόγραμμα πρέπει να υποβάλουν σχετική αίτηση από 01.02.2017 μέχρι και 30.04.2017.</w:t>
      </w:r>
    </w:p>
    <w:p w:rsidR="005D25E8" w:rsidRPr="005D25E8" w:rsidRDefault="005D25E8" w:rsidP="005D25E8">
      <w:pPr>
        <w:rPr>
          <w:sz w:val="24"/>
          <w:szCs w:val="24"/>
          <w:lang w:val="el-GR"/>
        </w:rPr>
      </w:pPr>
      <w:r w:rsidRPr="005D25E8">
        <w:rPr>
          <w:sz w:val="24"/>
          <w:szCs w:val="24"/>
          <w:lang w:val="el-GR"/>
        </w:rPr>
        <w:t xml:space="preserve">3. Παρέχεται </w:t>
      </w:r>
      <w:r w:rsidRPr="005D25E8">
        <w:rPr>
          <w:sz w:val="24"/>
          <w:szCs w:val="24"/>
          <w:u w:val="single"/>
          <w:lang w:val="el-GR"/>
        </w:rPr>
        <w:t>δεύτερη ευκαιρία</w:t>
      </w:r>
      <w:r w:rsidRPr="005D25E8">
        <w:rPr>
          <w:sz w:val="24"/>
          <w:szCs w:val="24"/>
          <w:lang w:val="el-GR"/>
        </w:rPr>
        <w:t xml:space="preserve"> σε όσους πελάτες ρύθμισαν την οφειλή τους εντασσόμενοι στο Πρόγραμμα των 36 δόσεων, αλλά στην πορεία δεν μπόρεσαν να ανταποκριθούν και η ρύθμιση διακόπηκε. Οι πελάτες αυτοί θα έχουν τη δυνατότητα επανένταξης στο πρόγραμμα με το τρέχον ποσό της οφειλής με σχετική αίτηση τους μέχρι τις 28.02.2017.</w:t>
      </w:r>
    </w:p>
    <w:p w:rsidR="005D25E8" w:rsidRPr="005D25E8" w:rsidRDefault="005D25E8" w:rsidP="005D25E8">
      <w:pPr>
        <w:rPr>
          <w:sz w:val="24"/>
          <w:szCs w:val="24"/>
          <w:lang w:val="el-GR"/>
        </w:rPr>
      </w:pPr>
      <w:r w:rsidRPr="005D25E8">
        <w:rPr>
          <w:sz w:val="24"/>
          <w:szCs w:val="24"/>
          <w:lang w:val="el-GR"/>
        </w:rPr>
        <w:t xml:space="preserve">4. Πέραν της διατήρησης της γενναίας </w:t>
      </w:r>
      <w:r w:rsidRPr="005D25E8">
        <w:rPr>
          <w:b/>
          <w:sz w:val="24"/>
          <w:szCs w:val="24"/>
          <w:lang w:val="el-GR"/>
        </w:rPr>
        <w:t>έκπτωσης του 15%</w:t>
      </w:r>
      <w:r w:rsidRPr="005D25E8">
        <w:rPr>
          <w:sz w:val="24"/>
          <w:szCs w:val="24"/>
          <w:lang w:val="el-GR"/>
        </w:rPr>
        <w:t xml:space="preserve">, συνδεδεμένης, βέβαια, με τη συνέπεια στην εξόφληση των λογαριασμών και των δόσεων, από </w:t>
      </w:r>
      <w:r w:rsidRPr="005D25E8">
        <w:rPr>
          <w:b/>
          <w:sz w:val="24"/>
          <w:szCs w:val="24"/>
          <w:lang w:val="el-GR"/>
        </w:rPr>
        <w:t>10.01.2017</w:t>
      </w:r>
      <w:r w:rsidRPr="005D25E8">
        <w:rPr>
          <w:sz w:val="24"/>
          <w:szCs w:val="24"/>
          <w:lang w:val="el-GR"/>
        </w:rPr>
        <w:t xml:space="preserve"> για τις μικρές και μικρομεσαίες επιχειρήσεις, τους ελεύθερους επαγγελματίες και τα  νοικοκυριά θα ισχύσουν τα εξής:</w:t>
      </w:r>
    </w:p>
    <w:p w:rsidR="005D25E8" w:rsidRPr="005D25E8" w:rsidRDefault="005D25E8" w:rsidP="005D25E8">
      <w:pPr>
        <w:ind w:left="709" w:hanging="425"/>
        <w:jc w:val="both"/>
        <w:rPr>
          <w:sz w:val="24"/>
          <w:szCs w:val="24"/>
          <w:lang w:val="el-GR"/>
        </w:rPr>
      </w:pPr>
      <w:r w:rsidRPr="005D25E8">
        <w:rPr>
          <w:b/>
          <w:sz w:val="24"/>
          <w:szCs w:val="24"/>
          <w:lang w:val="el-GR"/>
        </w:rPr>
        <w:t>Α.</w:t>
      </w:r>
      <w:r w:rsidRPr="005D25E8">
        <w:rPr>
          <w:sz w:val="24"/>
          <w:szCs w:val="24"/>
          <w:lang w:val="el-GR"/>
        </w:rPr>
        <w:t xml:space="preserve"> </w:t>
      </w:r>
      <w:r w:rsidRPr="005D25E8">
        <w:rPr>
          <w:sz w:val="24"/>
          <w:szCs w:val="24"/>
          <w:lang w:val="el-GR"/>
        </w:rPr>
        <w:tab/>
        <w:t xml:space="preserve">για οφειλή </w:t>
      </w:r>
      <w:r w:rsidRPr="005D25E8">
        <w:rPr>
          <w:b/>
          <w:sz w:val="24"/>
          <w:szCs w:val="24"/>
          <w:lang w:val="el-GR"/>
        </w:rPr>
        <w:t>έως 1.000€</w:t>
      </w:r>
      <w:r w:rsidRPr="005D25E8">
        <w:rPr>
          <w:sz w:val="24"/>
          <w:szCs w:val="24"/>
          <w:lang w:val="el-GR"/>
        </w:rPr>
        <w:t xml:space="preserve"> θα υπάρχει δυνατότητα ρύθμισης της οφειλής σε </w:t>
      </w:r>
      <w:r w:rsidRPr="005D25E8">
        <w:rPr>
          <w:b/>
          <w:sz w:val="24"/>
          <w:szCs w:val="24"/>
          <w:lang w:val="el-GR"/>
        </w:rPr>
        <w:t>24 μηνιαίες δόσεις</w:t>
      </w:r>
      <w:r w:rsidRPr="005D25E8">
        <w:rPr>
          <w:sz w:val="24"/>
          <w:szCs w:val="24"/>
          <w:lang w:val="el-GR"/>
        </w:rPr>
        <w:t>, χωρίς προκαταβολή. Η 1</w:t>
      </w:r>
      <w:r w:rsidRPr="005D25E8">
        <w:rPr>
          <w:sz w:val="24"/>
          <w:szCs w:val="24"/>
          <w:vertAlign w:val="superscript"/>
          <w:lang w:val="el-GR"/>
        </w:rPr>
        <w:t>η</w:t>
      </w:r>
      <w:r w:rsidRPr="005D25E8">
        <w:rPr>
          <w:sz w:val="24"/>
          <w:szCs w:val="24"/>
          <w:lang w:val="el-GR"/>
        </w:rPr>
        <w:t xml:space="preserve"> δόση θα καταβάλλεται άμεσα.</w:t>
      </w:r>
    </w:p>
    <w:p w:rsidR="005D25E8" w:rsidRPr="005D25E8" w:rsidRDefault="005D25E8" w:rsidP="005D25E8">
      <w:pPr>
        <w:ind w:firstLine="284"/>
        <w:jc w:val="both"/>
        <w:rPr>
          <w:sz w:val="24"/>
          <w:szCs w:val="24"/>
          <w:lang w:val="el-GR"/>
        </w:rPr>
      </w:pPr>
      <w:r w:rsidRPr="005D25E8">
        <w:rPr>
          <w:b/>
          <w:sz w:val="24"/>
          <w:szCs w:val="24"/>
          <w:lang w:val="el-GR"/>
        </w:rPr>
        <w:t>Β.</w:t>
      </w:r>
      <w:r w:rsidRPr="005D25E8">
        <w:rPr>
          <w:sz w:val="24"/>
          <w:szCs w:val="24"/>
          <w:lang w:val="el-GR"/>
        </w:rPr>
        <w:t xml:space="preserve"> </w:t>
      </w:r>
      <w:r w:rsidRPr="005D25E8">
        <w:rPr>
          <w:sz w:val="24"/>
          <w:szCs w:val="24"/>
          <w:lang w:val="el-GR"/>
        </w:rPr>
        <w:tab/>
        <w:t>για οφειλή</w:t>
      </w:r>
      <w:r w:rsidRPr="005D25E8">
        <w:rPr>
          <w:b/>
          <w:sz w:val="24"/>
          <w:szCs w:val="24"/>
          <w:lang w:val="el-GR"/>
        </w:rPr>
        <w:t xml:space="preserve"> άνω των 1.000€</w:t>
      </w:r>
      <w:r w:rsidRPr="005D25E8">
        <w:rPr>
          <w:sz w:val="24"/>
          <w:szCs w:val="24"/>
          <w:lang w:val="el-GR"/>
        </w:rPr>
        <w:t xml:space="preserve"> θα υπάρχουν δύο επιλογές: </w:t>
      </w:r>
    </w:p>
    <w:p w:rsidR="005D25E8" w:rsidRPr="005D25E8" w:rsidRDefault="005D25E8" w:rsidP="005D25E8">
      <w:pPr>
        <w:pStyle w:val="a6"/>
        <w:ind w:left="1134" w:hanging="414"/>
        <w:jc w:val="both"/>
        <w:rPr>
          <w:sz w:val="24"/>
          <w:szCs w:val="24"/>
          <w:lang w:val="el-GR"/>
        </w:rPr>
      </w:pPr>
      <w:r w:rsidRPr="005D25E8">
        <w:rPr>
          <w:b/>
          <w:sz w:val="24"/>
          <w:szCs w:val="24"/>
          <w:lang w:val="el-GR"/>
        </w:rPr>
        <w:lastRenderedPageBreak/>
        <w:t>1</w:t>
      </w:r>
      <w:r w:rsidRPr="005D25E8">
        <w:rPr>
          <w:b/>
          <w:sz w:val="24"/>
          <w:szCs w:val="24"/>
          <w:vertAlign w:val="superscript"/>
          <w:lang w:val="el-GR"/>
        </w:rPr>
        <w:t>η</w:t>
      </w:r>
      <w:r w:rsidRPr="005D25E8">
        <w:rPr>
          <w:sz w:val="24"/>
          <w:szCs w:val="24"/>
          <w:lang w:val="el-GR"/>
        </w:rPr>
        <w:t xml:space="preserve"> :  Άμεση καταβολή του </w:t>
      </w:r>
      <w:r w:rsidRPr="005D25E8">
        <w:rPr>
          <w:b/>
          <w:sz w:val="24"/>
          <w:szCs w:val="24"/>
          <w:lang w:val="el-GR"/>
        </w:rPr>
        <w:t>10% της συνολικής οφειλής</w:t>
      </w:r>
      <w:r w:rsidRPr="005D25E8">
        <w:rPr>
          <w:sz w:val="24"/>
          <w:szCs w:val="24"/>
          <w:lang w:val="el-GR"/>
        </w:rPr>
        <w:t xml:space="preserve"> και ρύθμιση του υπόλοιπου σε </w:t>
      </w:r>
      <w:r w:rsidRPr="005D25E8">
        <w:rPr>
          <w:b/>
          <w:sz w:val="24"/>
          <w:szCs w:val="24"/>
          <w:lang w:val="el-GR"/>
        </w:rPr>
        <w:t>18 μηνιαίες δόσεις</w:t>
      </w:r>
      <w:r w:rsidRPr="005D25E8">
        <w:rPr>
          <w:sz w:val="24"/>
          <w:szCs w:val="24"/>
          <w:lang w:val="el-GR"/>
        </w:rPr>
        <w:t xml:space="preserve"> ή</w:t>
      </w:r>
    </w:p>
    <w:p w:rsidR="005D25E8" w:rsidRPr="005D25E8" w:rsidRDefault="005D25E8" w:rsidP="005D25E8">
      <w:pPr>
        <w:ind w:left="1134" w:hanging="425"/>
        <w:jc w:val="both"/>
        <w:rPr>
          <w:b/>
          <w:sz w:val="24"/>
          <w:szCs w:val="24"/>
          <w:lang w:val="el-GR"/>
        </w:rPr>
      </w:pPr>
      <w:r w:rsidRPr="005D25E8">
        <w:rPr>
          <w:b/>
          <w:sz w:val="24"/>
          <w:szCs w:val="24"/>
          <w:lang w:val="el-GR"/>
        </w:rPr>
        <w:t>2</w:t>
      </w:r>
      <w:r w:rsidRPr="005D25E8">
        <w:rPr>
          <w:b/>
          <w:sz w:val="24"/>
          <w:szCs w:val="24"/>
          <w:vertAlign w:val="superscript"/>
          <w:lang w:val="el-GR"/>
        </w:rPr>
        <w:t>η</w:t>
      </w:r>
      <w:r w:rsidRPr="005D25E8">
        <w:rPr>
          <w:b/>
          <w:sz w:val="24"/>
          <w:szCs w:val="24"/>
          <w:lang w:val="el-GR"/>
        </w:rPr>
        <w:t xml:space="preserve"> </w:t>
      </w:r>
      <w:r w:rsidRPr="005D25E8">
        <w:rPr>
          <w:sz w:val="24"/>
          <w:szCs w:val="24"/>
          <w:lang w:val="el-GR"/>
        </w:rPr>
        <w:t xml:space="preserve">:  Άμεση καταβολή του </w:t>
      </w:r>
      <w:r w:rsidRPr="005D25E8">
        <w:rPr>
          <w:b/>
          <w:sz w:val="24"/>
          <w:szCs w:val="24"/>
          <w:lang w:val="el-GR"/>
        </w:rPr>
        <w:t>20% της συνολικής οφειλής</w:t>
      </w:r>
      <w:r w:rsidRPr="005D25E8">
        <w:rPr>
          <w:sz w:val="24"/>
          <w:szCs w:val="24"/>
          <w:lang w:val="el-GR"/>
        </w:rPr>
        <w:t xml:space="preserve"> και ρύθμιση του υπόλοιπου σε </w:t>
      </w:r>
      <w:r w:rsidRPr="005D25E8">
        <w:rPr>
          <w:b/>
          <w:sz w:val="24"/>
          <w:szCs w:val="24"/>
          <w:lang w:val="el-GR"/>
        </w:rPr>
        <w:t>36 μηνιαίες δόσεις.</w:t>
      </w:r>
    </w:p>
    <w:p w:rsidR="005D25E8" w:rsidRPr="005D25E8" w:rsidRDefault="005D25E8" w:rsidP="005D25E8">
      <w:pPr>
        <w:jc w:val="both"/>
        <w:rPr>
          <w:sz w:val="24"/>
          <w:szCs w:val="24"/>
          <w:u w:val="single"/>
        </w:rPr>
      </w:pPr>
      <w:proofErr w:type="spellStart"/>
      <w:r w:rsidRPr="005D25E8">
        <w:rPr>
          <w:sz w:val="24"/>
          <w:szCs w:val="24"/>
          <w:u w:val="single"/>
        </w:rPr>
        <w:t>Διευκρινίζετ</w:t>
      </w:r>
      <w:proofErr w:type="spellEnd"/>
      <w:r w:rsidRPr="005D25E8">
        <w:rPr>
          <w:sz w:val="24"/>
          <w:szCs w:val="24"/>
          <w:u w:val="single"/>
        </w:rPr>
        <w:t xml:space="preserve">αι </w:t>
      </w:r>
      <w:proofErr w:type="spellStart"/>
      <w:r w:rsidRPr="005D25E8">
        <w:rPr>
          <w:sz w:val="24"/>
          <w:szCs w:val="24"/>
          <w:u w:val="single"/>
        </w:rPr>
        <w:t>ότι</w:t>
      </w:r>
      <w:proofErr w:type="spellEnd"/>
      <w:r w:rsidRPr="005D25E8">
        <w:rPr>
          <w:sz w:val="24"/>
          <w:szCs w:val="24"/>
          <w:u w:val="single"/>
        </w:rPr>
        <w:t>:</w:t>
      </w:r>
    </w:p>
    <w:p w:rsidR="005D25E8" w:rsidRPr="005D25E8" w:rsidRDefault="005D25E8" w:rsidP="005D25E8">
      <w:pPr>
        <w:pStyle w:val="a6"/>
        <w:numPr>
          <w:ilvl w:val="0"/>
          <w:numId w:val="5"/>
        </w:numPr>
        <w:jc w:val="both"/>
        <w:rPr>
          <w:sz w:val="24"/>
          <w:szCs w:val="24"/>
          <w:lang w:val="el-GR"/>
        </w:rPr>
      </w:pPr>
      <w:r w:rsidRPr="005D25E8">
        <w:rPr>
          <w:sz w:val="24"/>
          <w:szCs w:val="24"/>
          <w:lang w:val="el-GR"/>
        </w:rPr>
        <w:t xml:space="preserve">Για τις μεγάλες επιχειρήσεις και βιομηχανίες, θα ισχύει, 10% προκαταβολή και οι μηνιαίες δόσεις θα διαμορφώνονται ανάλογα με το μέσο μηνιαίο λογαριασμό, με ελάχιστο αριθμό δόσεων τις 18 και μέγιστο τις 36. </w:t>
      </w:r>
    </w:p>
    <w:p w:rsidR="005D25E8" w:rsidRPr="005D25E8" w:rsidRDefault="005D25E8" w:rsidP="005D25E8">
      <w:pPr>
        <w:pStyle w:val="a6"/>
        <w:numPr>
          <w:ilvl w:val="0"/>
          <w:numId w:val="5"/>
        </w:numPr>
        <w:jc w:val="both"/>
        <w:rPr>
          <w:sz w:val="24"/>
          <w:szCs w:val="24"/>
          <w:lang w:val="el-GR"/>
        </w:rPr>
      </w:pPr>
      <w:r w:rsidRPr="005D25E8">
        <w:rPr>
          <w:sz w:val="24"/>
          <w:szCs w:val="24"/>
          <w:lang w:val="el-GR"/>
        </w:rPr>
        <w:t xml:space="preserve">Από τις παραπάνω ρυθμίσεις εξαιρούνται οι ακόλουθες κατηγορίες πελατών: οι ενταγμένοι στο Μητρώο των Ευάλωτων Πελατών και οι Αγροτικοί για τους οποίους συνεχίζουν να ισχύουν οι σημερινές ευνοϊκότερες ρυθμίσεις. </w:t>
      </w:r>
    </w:p>
    <w:p w:rsidR="005D25E8" w:rsidRPr="005D25E8" w:rsidRDefault="005D25E8" w:rsidP="005D25E8">
      <w:pPr>
        <w:jc w:val="both"/>
        <w:rPr>
          <w:sz w:val="24"/>
          <w:szCs w:val="24"/>
          <w:lang w:val="el-GR"/>
        </w:rPr>
      </w:pPr>
      <w:r w:rsidRPr="005D25E8">
        <w:rPr>
          <w:sz w:val="24"/>
          <w:szCs w:val="24"/>
          <w:lang w:val="el-GR"/>
        </w:rPr>
        <w:t>5. Τέλος το ΔΣ της ΔΕΗ αποφάσισε την παροχή νέων κινήτρων για πελάτες συνεπείς στην εξόφληση των λογαριασμών τους. Συγκεκριμένα, επιβραβεύει με έκπτωση 6%, πλέον της γενναίας έκπτωσης του 15%, όσους πελάτες προπληρώσουν τους λογαριασμούς ρεύματος ενός έτους και τυχόν ληξιπρόθεσμες οφειλές. Η εφαρμογή του Προγράμματος "Προπληρωμή Λογαριασμού", ξεκινά άμεσα για τις μεγάλες επιχειρήσεις και τον Μάρτιο του 2017, θα εφαρμοστεί και για τα νοικοκυριά, επαγγελματίες και μικρές επιχειρήσεις.</w:t>
      </w:r>
    </w:p>
    <w:p w:rsidR="005D25E8" w:rsidRPr="005D25E8" w:rsidRDefault="005D25E8" w:rsidP="005D25E8">
      <w:pPr>
        <w:jc w:val="both"/>
        <w:rPr>
          <w:sz w:val="24"/>
          <w:szCs w:val="24"/>
          <w:lang w:val="el-GR"/>
        </w:rPr>
      </w:pPr>
      <w:r w:rsidRPr="005D25E8">
        <w:rPr>
          <w:sz w:val="24"/>
          <w:szCs w:val="24"/>
          <w:lang w:val="el-GR"/>
        </w:rPr>
        <w:t>Η ΔΕΗ καλεί όλους τους πελάτες της με ληξιπρόθεσμες οφειλές να ανταποκριθούν στις νέες προτάσεις ρύθμισης και να τακτοποιήσουν τις υποχρεώσεις τους έναντι της Επιχείρησης. Η συνέπεια και η δέσμευση όλων είναι προαπαιτούμενο τόσο για τη διασφάλιση της αποδοτικότητας και ανταγωνιστικότητας της ΔΕΗ όσο και για τη διατήρηση του κοινωνικού της χαρακτήρα και του αναπτυξιακού της ρόλου, με ανταποδοτικά οφέλη για όλους.</w:t>
      </w:r>
    </w:p>
    <w:p w:rsidR="005D25E8" w:rsidRPr="005D25E8" w:rsidRDefault="005D25E8" w:rsidP="005D25E8">
      <w:pPr>
        <w:pStyle w:val="a6"/>
        <w:rPr>
          <w:sz w:val="24"/>
          <w:szCs w:val="24"/>
          <w:lang w:val="el-GR"/>
        </w:rPr>
      </w:pPr>
    </w:p>
    <w:p w:rsidR="002A0620" w:rsidRPr="001F6756" w:rsidRDefault="002A0620" w:rsidP="000E0CDD">
      <w:pPr>
        <w:tabs>
          <w:tab w:val="num" w:pos="720"/>
        </w:tabs>
        <w:jc w:val="both"/>
        <w:rPr>
          <w:rFonts w:cstheme="minorHAnsi"/>
          <w:color w:val="000000"/>
          <w:sz w:val="28"/>
          <w:szCs w:val="28"/>
          <w:lang w:val="el-GR"/>
        </w:rPr>
      </w:pPr>
    </w:p>
    <w:p w:rsidR="002A0620" w:rsidRPr="001F6756" w:rsidRDefault="002A0620" w:rsidP="000E0CDD">
      <w:pPr>
        <w:tabs>
          <w:tab w:val="num" w:pos="720"/>
        </w:tabs>
        <w:jc w:val="both"/>
        <w:rPr>
          <w:rFonts w:cstheme="minorHAnsi"/>
          <w:color w:val="000000"/>
          <w:sz w:val="28"/>
          <w:szCs w:val="28"/>
          <w:lang w:val="el-GR"/>
        </w:rPr>
      </w:pPr>
    </w:p>
    <w:p w:rsidR="002A0620" w:rsidRPr="001F6756" w:rsidRDefault="002A0620" w:rsidP="000E0CDD">
      <w:pPr>
        <w:tabs>
          <w:tab w:val="num" w:pos="720"/>
        </w:tabs>
        <w:jc w:val="both"/>
        <w:rPr>
          <w:rFonts w:cstheme="minorHAnsi"/>
          <w:color w:val="000000"/>
          <w:sz w:val="28"/>
          <w:szCs w:val="28"/>
          <w:lang w:val="el-GR"/>
        </w:rPr>
      </w:pPr>
    </w:p>
    <w:p w:rsidR="000E0CDD" w:rsidRPr="00C62ECE" w:rsidRDefault="00B75B7F" w:rsidP="000E0CDD">
      <w:pPr>
        <w:tabs>
          <w:tab w:val="num" w:pos="720"/>
        </w:tabs>
        <w:jc w:val="both"/>
        <w:rPr>
          <w:rFonts w:cstheme="minorHAnsi"/>
          <w:b/>
          <w:color w:val="000000"/>
          <w:sz w:val="32"/>
          <w:szCs w:val="32"/>
          <w:lang w:val="el-GR"/>
        </w:rPr>
      </w:pPr>
      <w:r w:rsidRPr="001E4809">
        <w:rPr>
          <w:rFonts w:cstheme="minorHAnsi"/>
          <w:color w:val="000000"/>
          <w:sz w:val="28"/>
          <w:szCs w:val="28"/>
          <w:lang w:val="el-GR"/>
        </w:rPr>
        <w:tab/>
      </w:r>
      <w:r w:rsidRPr="001E4809">
        <w:rPr>
          <w:rFonts w:cstheme="minorHAnsi"/>
          <w:color w:val="000000"/>
          <w:sz w:val="28"/>
          <w:szCs w:val="28"/>
          <w:lang w:val="el-GR"/>
        </w:rPr>
        <w:tab/>
      </w:r>
      <w:r w:rsidRPr="001E4809">
        <w:rPr>
          <w:rFonts w:cstheme="minorHAnsi"/>
          <w:color w:val="000000"/>
          <w:sz w:val="28"/>
          <w:szCs w:val="28"/>
          <w:lang w:val="el-GR"/>
        </w:rPr>
        <w:tab/>
      </w:r>
      <w:r w:rsidRPr="001E4809">
        <w:rPr>
          <w:rFonts w:cstheme="minorHAnsi"/>
          <w:color w:val="000000"/>
          <w:sz w:val="28"/>
          <w:szCs w:val="28"/>
          <w:lang w:val="el-GR"/>
        </w:rPr>
        <w:tab/>
      </w:r>
      <w:r w:rsidRPr="001E4809">
        <w:rPr>
          <w:rFonts w:cstheme="minorHAnsi"/>
          <w:color w:val="000000"/>
          <w:sz w:val="28"/>
          <w:szCs w:val="28"/>
          <w:lang w:val="el-GR"/>
        </w:rPr>
        <w:tab/>
      </w:r>
      <w:r w:rsidRPr="001E4809">
        <w:rPr>
          <w:rFonts w:cstheme="minorHAnsi"/>
          <w:color w:val="000000"/>
          <w:sz w:val="28"/>
          <w:szCs w:val="28"/>
          <w:lang w:val="el-GR"/>
        </w:rPr>
        <w:tab/>
      </w:r>
      <w:r w:rsidRPr="001E4809">
        <w:rPr>
          <w:rFonts w:cstheme="minorHAnsi"/>
          <w:color w:val="000000"/>
          <w:sz w:val="28"/>
          <w:szCs w:val="28"/>
          <w:lang w:val="el-GR"/>
        </w:rPr>
        <w:tab/>
      </w:r>
      <w:r w:rsidR="000E0CDD" w:rsidRPr="00C62ECE">
        <w:rPr>
          <w:rFonts w:cstheme="minorHAnsi"/>
          <w:b/>
          <w:color w:val="000000"/>
          <w:sz w:val="32"/>
          <w:szCs w:val="32"/>
          <w:lang w:val="el-GR"/>
        </w:rPr>
        <w:t xml:space="preserve"> ΑΠΟ ΤΟ ΓΡΑΦΕΙΟ ΤΥΠΟΥ</w:t>
      </w:r>
    </w:p>
    <w:sectPr w:rsidR="000E0CDD" w:rsidRPr="00C62ECE" w:rsidSect="00C62ECE">
      <w:headerReference w:type="default" r:id="rId9"/>
      <w:footerReference w:type="default" r:id="rId10"/>
      <w:pgSz w:w="12240" w:h="15840"/>
      <w:pgMar w:top="1440" w:right="1041" w:bottom="144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70A38" w:rsidRDefault="00B70A38" w:rsidP="004F1B03">
      <w:pPr>
        <w:spacing w:after="0" w:line="240" w:lineRule="auto"/>
      </w:pPr>
      <w:r>
        <w:separator/>
      </w:r>
    </w:p>
  </w:endnote>
  <w:endnote w:type="continuationSeparator" w:id="0">
    <w:p w:rsidR="00B70A38" w:rsidRDefault="00B70A38" w:rsidP="004F1B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AFF" w:usb1="C0007841" w:usb2="00000009" w:usb3="00000000" w:csb0="000001FF"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00002FF" w:usb1="4000ACFF" w:usb2="00000001" w:usb3="00000000" w:csb0="0000019F" w:csb1="00000000"/>
  </w:font>
  <w:font w:name="Cambria">
    <w:panose1 w:val="02040503050406030204"/>
    <w:charset w:val="A1"/>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1B03" w:rsidRDefault="004F1B03">
    <w:pPr>
      <w:pStyle w:val="a5"/>
    </w:pPr>
    <w:r>
      <w:rPr>
        <w:noProof/>
        <w:lang w:val="el-GR" w:eastAsia="el-GR"/>
      </w:rPr>
      <w:drawing>
        <wp:anchor distT="0" distB="0" distL="114300" distR="114300" simplePos="0" relativeHeight="251661312" behindDoc="1" locked="0" layoutInCell="1" allowOverlap="1" wp14:anchorId="30CEB0E1" wp14:editId="0464651C">
          <wp:simplePos x="0" y="0"/>
          <wp:positionH relativeFrom="column">
            <wp:posOffset>-882015</wp:posOffset>
          </wp:positionH>
          <wp:positionV relativeFrom="paragraph">
            <wp:posOffset>-332427</wp:posOffset>
          </wp:positionV>
          <wp:extent cx="7519916" cy="934766"/>
          <wp:effectExtent l="0" t="0" r="5080" b="0"/>
          <wp:wrapNone/>
          <wp:docPr id="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ltiotypouDEH3-02.jpg"/>
                  <pic:cNvPicPr/>
                </pic:nvPicPr>
                <pic:blipFill>
                  <a:blip r:embed="rId1">
                    <a:extLst>
                      <a:ext uri="{28A0092B-C50C-407E-A947-70E740481C1C}">
                        <a14:useLocalDpi xmlns:a14="http://schemas.microsoft.com/office/drawing/2010/main" val="0"/>
                      </a:ext>
                    </a:extLst>
                  </a:blip>
                  <a:stretch>
                    <a:fillRect/>
                  </a:stretch>
                </pic:blipFill>
                <pic:spPr>
                  <a:xfrm>
                    <a:off x="0" y="0"/>
                    <a:ext cx="7519916" cy="934766"/>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70A38" w:rsidRDefault="00B70A38" w:rsidP="004F1B03">
      <w:pPr>
        <w:spacing w:after="0" w:line="240" w:lineRule="auto"/>
      </w:pPr>
      <w:r>
        <w:separator/>
      </w:r>
    </w:p>
  </w:footnote>
  <w:footnote w:type="continuationSeparator" w:id="0">
    <w:p w:rsidR="00B70A38" w:rsidRDefault="00B70A38" w:rsidP="004F1B0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1B03" w:rsidRDefault="004F1B03">
    <w:pPr>
      <w:pStyle w:val="a4"/>
    </w:pPr>
    <w:r>
      <w:rPr>
        <w:noProof/>
        <w:lang w:val="el-GR" w:eastAsia="el-GR"/>
      </w:rPr>
      <w:drawing>
        <wp:anchor distT="0" distB="0" distL="114300" distR="114300" simplePos="0" relativeHeight="251660288" behindDoc="1" locked="0" layoutInCell="1" allowOverlap="1" wp14:anchorId="0F249562" wp14:editId="09839C0F">
          <wp:simplePos x="0" y="0"/>
          <wp:positionH relativeFrom="column">
            <wp:posOffset>-869637</wp:posOffset>
          </wp:positionH>
          <wp:positionV relativeFrom="paragraph">
            <wp:posOffset>-547370</wp:posOffset>
          </wp:positionV>
          <wp:extent cx="4150995" cy="1158240"/>
          <wp:effectExtent l="0" t="0" r="1905" b="381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ltiotypouDEH-02.jpg"/>
                  <pic:cNvPicPr/>
                </pic:nvPicPr>
                <pic:blipFill>
                  <a:blip r:embed="rId1">
                    <a:extLst>
                      <a:ext uri="{28A0092B-C50C-407E-A947-70E740481C1C}">
                        <a14:useLocalDpi xmlns:a14="http://schemas.microsoft.com/office/drawing/2010/main" val="0"/>
                      </a:ext>
                    </a:extLst>
                  </a:blip>
                  <a:stretch>
                    <a:fillRect/>
                  </a:stretch>
                </pic:blipFill>
                <pic:spPr>
                  <a:xfrm>
                    <a:off x="0" y="0"/>
                    <a:ext cx="4150995" cy="1158240"/>
                  </a:xfrm>
                  <a:prstGeom prst="rect">
                    <a:avLst/>
                  </a:prstGeom>
                </pic:spPr>
              </pic:pic>
            </a:graphicData>
          </a:graphic>
          <wp14:sizeRelH relativeFrom="page">
            <wp14:pctWidth>0</wp14:pctWidth>
          </wp14:sizeRelH>
          <wp14:sizeRelV relativeFrom="page">
            <wp14:pctHeight>0</wp14:pctHeight>
          </wp14:sizeRelV>
        </wp:anchor>
      </w:drawing>
    </w:r>
    <w:r>
      <w:rPr>
        <w:noProof/>
        <w:lang w:val="el-GR" w:eastAsia="el-GR"/>
      </w:rPr>
      <w:drawing>
        <wp:anchor distT="0" distB="0" distL="114300" distR="114300" simplePos="0" relativeHeight="251659264" behindDoc="1" locked="0" layoutInCell="1" allowOverlap="1" wp14:anchorId="19069B8E" wp14:editId="2D8A6197">
          <wp:simplePos x="0" y="0"/>
          <wp:positionH relativeFrom="column">
            <wp:posOffset>-1044897</wp:posOffset>
          </wp:positionH>
          <wp:positionV relativeFrom="paragraph">
            <wp:posOffset>-490220</wp:posOffset>
          </wp:positionV>
          <wp:extent cx="499745" cy="10099040"/>
          <wp:effectExtent l="0" t="0" r="0" b="0"/>
          <wp:wrapNone/>
          <wp:docPr id="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ltiotypouDEH2-01.jpg"/>
                  <pic:cNvPicPr/>
                </pic:nvPicPr>
                <pic:blipFill>
                  <a:blip r:embed="rId2">
                    <a:extLst>
                      <a:ext uri="{28A0092B-C50C-407E-A947-70E740481C1C}">
                        <a14:useLocalDpi xmlns:a14="http://schemas.microsoft.com/office/drawing/2010/main" val="0"/>
                      </a:ext>
                    </a:extLst>
                  </a:blip>
                  <a:stretch>
                    <a:fillRect/>
                  </a:stretch>
                </pic:blipFill>
                <pic:spPr>
                  <a:xfrm>
                    <a:off x="0" y="0"/>
                    <a:ext cx="499745" cy="1009904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8406CB"/>
    <w:multiLevelType w:val="hybridMultilevel"/>
    <w:tmpl w:val="8AFA1776"/>
    <w:lvl w:ilvl="0" w:tplc="04080001">
      <w:start w:val="1"/>
      <w:numFmt w:val="bullet"/>
      <w:lvlText w:val=""/>
      <w:lvlJc w:val="left"/>
      <w:pPr>
        <w:ind w:left="780" w:hanging="360"/>
      </w:pPr>
      <w:rPr>
        <w:rFonts w:ascii="Symbol" w:hAnsi="Symbol" w:hint="default"/>
      </w:rPr>
    </w:lvl>
    <w:lvl w:ilvl="1" w:tplc="04080003" w:tentative="1">
      <w:start w:val="1"/>
      <w:numFmt w:val="bullet"/>
      <w:lvlText w:val="o"/>
      <w:lvlJc w:val="left"/>
      <w:pPr>
        <w:ind w:left="1500" w:hanging="360"/>
      </w:pPr>
      <w:rPr>
        <w:rFonts w:ascii="Courier New" w:hAnsi="Courier New" w:cs="Courier New" w:hint="default"/>
      </w:rPr>
    </w:lvl>
    <w:lvl w:ilvl="2" w:tplc="04080005" w:tentative="1">
      <w:start w:val="1"/>
      <w:numFmt w:val="bullet"/>
      <w:lvlText w:val=""/>
      <w:lvlJc w:val="left"/>
      <w:pPr>
        <w:ind w:left="2220" w:hanging="360"/>
      </w:pPr>
      <w:rPr>
        <w:rFonts w:ascii="Wingdings" w:hAnsi="Wingdings" w:hint="default"/>
      </w:rPr>
    </w:lvl>
    <w:lvl w:ilvl="3" w:tplc="04080001" w:tentative="1">
      <w:start w:val="1"/>
      <w:numFmt w:val="bullet"/>
      <w:lvlText w:val=""/>
      <w:lvlJc w:val="left"/>
      <w:pPr>
        <w:ind w:left="2940" w:hanging="360"/>
      </w:pPr>
      <w:rPr>
        <w:rFonts w:ascii="Symbol" w:hAnsi="Symbol" w:hint="default"/>
      </w:rPr>
    </w:lvl>
    <w:lvl w:ilvl="4" w:tplc="04080003" w:tentative="1">
      <w:start w:val="1"/>
      <w:numFmt w:val="bullet"/>
      <w:lvlText w:val="o"/>
      <w:lvlJc w:val="left"/>
      <w:pPr>
        <w:ind w:left="3660" w:hanging="360"/>
      </w:pPr>
      <w:rPr>
        <w:rFonts w:ascii="Courier New" w:hAnsi="Courier New" w:cs="Courier New" w:hint="default"/>
      </w:rPr>
    </w:lvl>
    <w:lvl w:ilvl="5" w:tplc="04080005" w:tentative="1">
      <w:start w:val="1"/>
      <w:numFmt w:val="bullet"/>
      <w:lvlText w:val=""/>
      <w:lvlJc w:val="left"/>
      <w:pPr>
        <w:ind w:left="4380" w:hanging="360"/>
      </w:pPr>
      <w:rPr>
        <w:rFonts w:ascii="Wingdings" w:hAnsi="Wingdings" w:hint="default"/>
      </w:rPr>
    </w:lvl>
    <w:lvl w:ilvl="6" w:tplc="04080001" w:tentative="1">
      <w:start w:val="1"/>
      <w:numFmt w:val="bullet"/>
      <w:lvlText w:val=""/>
      <w:lvlJc w:val="left"/>
      <w:pPr>
        <w:ind w:left="5100" w:hanging="360"/>
      </w:pPr>
      <w:rPr>
        <w:rFonts w:ascii="Symbol" w:hAnsi="Symbol" w:hint="default"/>
      </w:rPr>
    </w:lvl>
    <w:lvl w:ilvl="7" w:tplc="04080003" w:tentative="1">
      <w:start w:val="1"/>
      <w:numFmt w:val="bullet"/>
      <w:lvlText w:val="o"/>
      <w:lvlJc w:val="left"/>
      <w:pPr>
        <w:ind w:left="5820" w:hanging="360"/>
      </w:pPr>
      <w:rPr>
        <w:rFonts w:ascii="Courier New" w:hAnsi="Courier New" w:cs="Courier New" w:hint="default"/>
      </w:rPr>
    </w:lvl>
    <w:lvl w:ilvl="8" w:tplc="04080005" w:tentative="1">
      <w:start w:val="1"/>
      <w:numFmt w:val="bullet"/>
      <w:lvlText w:val=""/>
      <w:lvlJc w:val="left"/>
      <w:pPr>
        <w:ind w:left="6540" w:hanging="360"/>
      </w:pPr>
      <w:rPr>
        <w:rFonts w:ascii="Wingdings" w:hAnsi="Wingdings" w:hint="default"/>
      </w:rPr>
    </w:lvl>
  </w:abstractNum>
  <w:abstractNum w:abstractNumId="1">
    <w:nsid w:val="24865635"/>
    <w:multiLevelType w:val="hybridMultilevel"/>
    <w:tmpl w:val="FAF2C140"/>
    <w:lvl w:ilvl="0" w:tplc="26C0D5D6">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nsid w:val="6DBD44DE"/>
    <w:multiLevelType w:val="hybridMultilevel"/>
    <w:tmpl w:val="57C455B6"/>
    <w:lvl w:ilvl="0" w:tplc="26C0D5D6">
      <w:start w:val="1"/>
      <w:numFmt w:val="bullet"/>
      <w:lvlText w:val=""/>
      <w:lvlJc w:val="left"/>
      <w:pPr>
        <w:ind w:left="1440" w:hanging="360"/>
      </w:pPr>
      <w:rPr>
        <w:rFonts w:ascii="Wingdings" w:hAnsi="Wingdings"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3">
    <w:nsid w:val="70B173CB"/>
    <w:multiLevelType w:val="hybridMultilevel"/>
    <w:tmpl w:val="0D0E0EBC"/>
    <w:lvl w:ilvl="0" w:tplc="0408000D">
      <w:start w:val="1"/>
      <w:numFmt w:val="bullet"/>
      <w:lvlText w:val=""/>
      <w:lvlJc w:val="left"/>
      <w:pPr>
        <w:ind w:left="720" w:hanging="360"/>
      </w:pPr>
      <w:rPr>
        <w:rFonts w:ascii="Wingdings" w:hAnsi="Wingdings"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hint="default"/>
      </w:rPr>
    </w:lvl>
  </w:abstractNum>
  <w:abstractNum w:abstractNumId="4">
    <w:nsid w:val="7BEC4E66"/>
    <w:multiLevelType w:val="hybridMultilevel"/>
    <w:tmpl w:val="71228910"/>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0"/>
  </w:num>
  <w:num w:numId="2">
    <w:abstractNumId w:val="4"/>
  </w:num>
  <w:num w:numId="3">
    <w:abstractNumId w:val="1"/>
  </w:num>
  <w:num w:numId="4">
    <w:abstractNumId w:val="2"/>
  </w:num>
  <w:num w:numId="5">
    <w:abstractNumId w:val="3"/>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51"/>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1B03"/>
    <w:rsid w:val="00027682"/>
    <w:rsid w:val="0003235B"/>
    <w:rsid w:val="00045CAE"/>
    <w:rsid w:val="00074809"/>
    <w:rsid w:val="000E0CDD"/>
    <w:rsid w:val="00136BEE"/>
    <w:rsid w:val="00144ADF"/>
    <w:rsid w:val="00181C6D"/>
    <w:rsid w:val="001E4809"/>
    <w:rsid w:val="001E77D8"/>
    <w:rsid w:val="001F6756"/>
    <w:rsid w:val="0021348B"/>
    <w:rsid w:val="00252001"/>
    <w:rsid w:val="00270441"/>
    <w:rsid w:val="00290FBF"/>
    <w:rsid w:val="002A0620"/>
    <w:rsid w:val="00300945"/>
    <w:rsid w:val="0032137B"/>
    <w:rsid w:val="003602A0"/>
    <w:rsid w:val="00376F49"/>
    <w:rsid w:val="003C56D5"/>
    <w:rsid w:val="003E2DB0"/>
    <w:rsid w:val="00417893"/>
    <w:rsid w:val="0045203F"/>
    <w:rsid w:val="004947DE"/>
    <w:rsid w:val="004A254C"/>
    <w:rsid w:val="004F1B03"/>
    <w:rsid w:val="0050555F"/>
    <w:rsid w:val="00523B6D"/>
    <w:rsid w:val="00561C3F"/>
    <w:rsid w:val="0057310F"/>
    <w:rsid w:val="00585884"/>
    <w:rsid w:val="00586F9A"/>
    <w:rsid w:val="00594E86"/>
    <w:rsid w:val="005D25E8"/>
    <w:rsid w:val="005D3AC9"/>
    <w:rsid w:val="005F4591"/>
    <w:rsid w:val="00601B2E"/>
    <w:rsid w:val="0063216E"/>
    <w:rsid w:val="00664C55"/>
    <w:rsid w:val="00682423"/>
    <w:rsid w:val="00683828"/>
    <w:rsid w:val="00686695"/>
    <w:rsid w:val="006F6BF7"/>
    <w:rsid w:val="006F71F0"/>
    <w:rsid w:val="006F75BE"/>
    <w:rsid w:val="00702394"/>
    <w:rsid w:val="007459D0"/>
    <w:rsid w:val="0075129B"/>
    <w:rsid w:val="00751EBD"/>
    <w:rsid w:val="00776830"/>
    <w:rsid w:val="007B46CC"/>
    <w:rsid w:val="007E3211"/>
    <w:rsid w:val="007E49C8"/>
    <w:rsid w:val="0080002F"/>
    <w:rsid w:val="0084239D"/>
    <w:rsid w:val="008543DC"/>
    <w:rsid w:val="00937275"/>
    <w:rsid w:val="00942CCC"/>
    <w:rsid w:val="009C1A85"/>
    <w:rsid w:val="009C3FDC"/>
    <w:rsid w:val="009E1C59"/>
    <w:rsid w:val="009F4139"/>
    <w:rsid w:val="00A52226"/>
    <w:rsid w:val="00A72F48"/>
    <w:rsid w:val="00A8729B"/>
    <w:rsid w:val="00AF2D03"/>
    <w:rsid w:val="00B056D9"/>
    <w:rsid w:val="00B532D4"/>
    <w:rsid w:val="00B53CCA"/>
    <w:rsid w:val="00B61A1D"/>
    <w:rsid w:val="00B70A38"/>
    <w:rsid w:val="00B75B7F"/>
    <w:rsid w:val="00B94930"/>
    <w:rsid w:val="00BC3639"/>
    <w:rsid w:val="00BD00F9"/>
    <w:rsid w:val="00BF23FF"/>
    <w:rsid w:val="00C004B3"/>
    <w:rsid w:val="00C21690"/>
    <w:rsid w:val="00C324EB"/>
    <w:rsid w:val="00C54AED"/>
    <w:rsid w:val="00C62ECE"/>
    <w:rsid w:val="00C76427"/>
    <w:rsid w:val="00C86348"/>
    <w:rsid w:val="00CA16FD"/>
    <w:rsid w:val="00CC142B"/>
    <w:rsid w:val="00D00FD6"/>
    <w:rsid w:val="00D05141"/>
    <w:rsid w:val="00D37F94"/>
    <w:rsid w:val="00D574E3"/>
    <w:rsid w:val="00D66FBB"/>
    <w:rsid w:val="00D7067E"/>
    <w:rsid w:val="00D84F0F"/>
    <w:rsid w:val="00D91F55"/>
    <w:rsid w:val="00DA1AE0"/>
    <w:rsid w:val="00DA769F"/>
    <w:rsid w:val="00DC7A28"/>
    <w:rsid w:val="00E35807"/>
    <w:rsid w:val="00E918D9"/>
    <w:rsid w:val="00E92E23"/>
    <w:rsid w:val="00EB4A22"/>
    <w:rsid w:val="00EF0918"/>
    <w:rsid w:val="00EF40DC"/>
    <w:rsid w:val="00F41151"/>
    <w:rsid w:val="00FA7DBA"/>
    <w:rsid w:val="00FC679A"/>
    <w:rsid w:val="00FD0C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F1B03"/>
  </w:style>
  <w:style w:type="paragraph" w:styleId="1">
    <w:name w:val="heading 1"/>
    <w:basedOn w:val="a"/>
    <w:next w:val="a"/>
    <w:link w:val="1Char"/>
    <w:uiPriority w:val="9"/>
    <w:qFormat/>
    <w:rsid w:val="00523B6D"/>
    <w:pPr>
      <w:keepNext/>
      <w:keepLines/>
      <w:spacing w:before="480" w:after="0"/>
      <w:outlineLvl w:val="0"/>
    </w:pPr>
    <w:rPr>
      <w:rFonts w:asciiTheme="majorHAnsi" w:eastAsiaTheme="majorEastAsia" w:hAnsiTheme="majorHAnsi" w:cstheme="majorBidi"/>
      <w:b/>
      <w:bCs/>
      <w:color w:val="365F91" w:themeColor="accent1" w:themeShade="BF"/>
      <w:sz w:val="28"/>
      <w:szCs w:val="28"/>
      <w:lang w:val="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4F1B03"/>
    <w:pPr>
      <w:spacing w:after="0" w:line="240" w:lineRule="auto"/>
    </w:pPr>
    <w:rPr>
      <w:rFonts w:ascii="Tahoma" w:hAnsi="Tahoma" w:cs="Tahoma"/>
      <w:sz w:val="16"/>
      <w:szCs w:val="16"/>
    </w:rPr>
  </w:style>
  <w:style w:type="character" w:customStyle="1" w:styleId="Char">
    <w:name w:val="Κείμενο πλαισίου Char"/>
    <w:basedOn w:val="a0"/>
    <w:link w:val="a3"/>
    <w:uiPriority w:val="99"/>
    <w:semiHidden/>
    <w:rsid w:val="004F1B03"/>
    <w:rPr>
      <w:rFonts w:ascii="Tahoma" w:hAnsi="Tahoma" w:cs="Tahoma"/>
      <w:sz w:val="16"/>
      <w:szCs w:val="16"/>
    </w:rPr>
  </w:style>
  <w:style w:type="paragraph" w:styleId="a4">
    <w:name w:val="header"/>
    <w:basedOn w:val="a"/>
    <w:link w:val="Char0"/>
    <w:uiPriority w:val="99"/>
    <w:unhideWhenUsed/>
    <w:rsid w:val="004F1B03"/>
    <w:pPr>
      <w:tabs>
        <w:tab w:val="center" w:pos="4320"/>
        <w:tab w:val="right" w:pos="8640"/>
      </w:tabs>
      <w:spacing w:after="0" w:line="240" w:lineRule="auto"/>
    </w:pPr>
  </w:style>
  <w:style w:type="character" w:customStyle="1" w:styleId="Char0">
    <w:name w:val="Κεφαλίδα Char"/>
    <w:basedOn w:val="a0"/>
    <w:link w:val="a4"/>
    <w:uiPriority w:val="99"/>
    <w:rsid w:val="004F1B03"/>
  </w:style>
  <w:style w:type="paragraph" w:styleId="a5">
    <w:name w:val="footer"/>
    <w:basedOn w:val="a"/>
    <w:link w:val="Char1"/>
    <w:unhideWhenUsed/>
    <w:rsid w:val="004F1B03"/>
    <w:pPr>
      <w:tabs>
        <w:tab w:val="center" w:pos="4320"/>
        <w:tab w:val="right" w:pos="8640"/>
      </w:tabs>
      <w:spacing w:after="0" w:line="240" w:lineRule="auto"/>
    </w:pPr>
  </w:style>
  <w:style w:type="character" w:customStyle="1" w:styleId="Char1">
    <w:name w:val="Υποσέλιδο Char"/>
    <w:basedOn w:val="a0"/>
    <w:link w:val="a5"/>
    <w:rsid w:val="004F1B03"/>
  </w:style>
  <w:style w:type="paragraph" w:styleId="a6">
    <w:name w:val="List Paragraph"/>
    <w:basedOn w:val="a"/>
    <w:uiPriority w:val="34"/>
    <w:qFormat/>
    <w:rsid w:val="00D574E3"/>
    <w:pPr>
      <w:ind w:left="720"/>
      <w:contextualSpacing/>
    </w:pPr>
  </w:style>
  <w:style w:type="character" w:customStyle="1" w:styleId="1Char">
    <w:name w:val="Επικεφαλίδα 1 Char"/>
    <w:basedOn w:val="a0"/>
    <w:link w:val="1"/>
    <w:uiPriority w:val="9"/>
    <w:rsid w:val="00523B6D"/>
    <w:rPr>
      <w:rFonts w:asciiTheme="majorHAnsi" w:eastAsiaTheme="majorEastAsia" w:hAnsiTheme="majorHAnsi" w:cstheme="majorBidi"/>
      <w:b/>
      <w:bCs/>
      <w:color w:val="365F91" w:themeColor="accent1" w:themeShade="BF"/>
      <w:sz w:val="28"/>
      <w:szCs w:val="28"/>
      <w:lang w:val="el-GR"/>
    </w:rPr>
  </w:style>
  <w:style w:type="character" w:styleId="-">
    <w:name w:val="Hyperlink"/>
    <w:semiHidden/>
    <w:unhideWhenUsed/>
    <w:rsid w:val="00B056D9"/>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F1B03"/>
  </w:style>
  <w:style w:type="paragraph" w:styleId="1">
    <w:name w:val="heading 1"/>
    <w:basedOn w:val="a"/>
    <w:next w:val="a"/>
    <w:link w:val="1Char"/>
    <w:uiPriority w:val="9"/>
    <w:qFormat/>
    <w:rsid w:val="00523B6D"/>
    <w:pPr>
      <w:keepNext/>
      <w:keepLines/>
      <w:spacing w:before="480" w:after="0"/>
      <w:outlineLvl w:val="0"/>
    </w:pPr>
    <w:rPr>
      <w:rFonts w:asciiTheme="majorHAnsi" w:eastAsiaTheme="majorEastAsia" w:hAnsiTheme="majorHAnsi" w:cstheme="majorBidi"/>
      <w:b/>
      <w:bCs/>
      <w:color w:val="365F91" w:themeColor="accent1" w:themeShade="BF"/>
      <w:sz w:val="28"/>
      <w:szCs w:val="28"/>
      <w:lang w:val="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4F1B03"/>
    <w:pPr>
      <w:spacing w:after="0" w:line="240" w:lineRule="auto"/>
    </w:pPr>
    <w:rPr>
      <w:rFonts w:ascii="Tahoma" w:hAnsi="Tahoma" w:cs="Tahoma"/>
      <w:sz w:val="16"/>
      <w:szCs w:val="16"/>
    </w:rPr>
  </w:style>
  <w:style w:type="character" w:customStyle="1" w:styleId="Char">
    <w:name w:val="Κείμενο πλαισίου Char"/>
    <w:basedOn w:val="a0"/>
    <w:link w:val="a3"/>
    <w:uiPriority w:val="99"/>
    <w:semiHidden/>
    <w:rsid w:val="004F1B03"/>
    <w:rPr>
      <w:rFonts w:ascii="Tahoma" w:hAnsi="Tahoma" w:cs="Tahoma"/>
      <w:sz w:val="16"/>
      <w:szCs w:val="16"/>
    </w:rPr>
  </w:style>
  <w:style w:type="paragraph" w:styleId="a4">
    <w:name w:val="header"/>
    <w:basedOn w:val="a"/>
    <w:link w:val="Char0"/>
    <w:uiPriority w:val="99"/>
    <w:unhideWhenUsed/>
    <w:rsid w:val="004F1B03"/>
    <w:pPr>
      <w:tabs>
        <w:tab w:val="center" w:pos="4320"/>
        <w:tab w:val="right" w:pos="8640"/>
      </w:tabs>
      <w:spacing w:after="0" w:line="240" w:lineRule="auto"/>
    </w:pPr>
  </w:style>
  <w:style w:type="character" w:customStyle="1" w:styleId="Char0">
    <w:name w:val="Κεφαλίδα Char"/>
    <w:basedOn w:val="a0"/>
    <w:link w:val="a4"/>
    <w:uiPriority w:val="99"/>
    <w:rsid w:val="004F1B03"/>
  </w:style>
  <w:style w:type="paragraph" w:styleId="a5">
    <w:name w:val="footer"/>
    <w:basedOn w:val="a"/>
    <w:link w:val="Char1"/>
    <w:unhideWhenUsed/>
    <w:rsid w:val="004F1B03"/>
    <w:pPr>
      <w:tabs>
        <w:tab w:val="center" w:pos="4320"/>
        <w:tab w:val="right" w:pos="8640"/>
      </w:tabs>
      <w:spacing w:after="0" w:line="240" w:lineRule="auto"/>
    </w:pPr>
  </w:style>
  <w:style w:type="character" w:customStyle="1" w:styleId="Char1">
    <w:name w:val="Υποσέλιδο Char"/>
    <w:basedOn w:val="a0"/>
    <w:link w:val="a5"/>
    <w:rsid w:val="004F1B03"/>
  </w:style>
  <w:style w:type="paragraph" w:styleId="a6">
    <w:name w:val="List Paragraph"/>
    <w:basedOn w:val="a"/>
    <w:uiPriority w:val="34"/>
    <w:qFormat/>
    <w:rsid w:val="00D574E3"/>
    <w:pPr>
      <w:ind w:left="720"/>
      <w:contextualSpacing/>
    </w:pPr>
  </w:style>
  <w:style w:type="character" w:customStyle="1" w:styleId="1Char">
    <w:name w:val="Επικεφαλίδα 1 Char"/>
    <w:basedOn w:val="a0"/>
    <w:link w:val="1"/>
    <w:uiPriority w:val="9"/>
    <w:rsid w:val="00523B6D"/>
    <w:rPr>
      <w:rFonts w:asciiTheme="majorHAnsi" w:eastAsiaTheme="majorEastAsia" w:hAnsiTheme="majorHAnsi" w:cstheme="majorBidi"/>
      <w:b/>
      <w:bCs/>
      <w:color w:val="365F91" w:themeColor="accent1" w:themeShade="BF"/>
      <w:sz w:val="28"/>
      <w:szCs w:val="28"/>
      <w:lang w:val="el-GR"/>
    </w:rPr>
  </w:style>
  <w:style w:type="character" w:styleId="-">
    <w:name w:val="Hyperlink"/>
    <w:semiHidden/>
    <w:unhideWhenUsed/>
    <w:rsid w:val="00B056D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979803">
      <w:bodyDiv w:val="1"/>
      <w:marLeft w:val="0"/>
      <w:marRight w:val="0"/>
      <w:marTop w:val="0"/>
      <w:marBottom w:val="0"/>
      <w:divBdr>
        <w:top w:val="none" w:sz="0" w:space="0" w:color="auto"/>
        <w:left w:val="none" w:sz="0" w:space="0" w:color="auto"/>
        <w:bottom w:val="none" w:sz="0" w:space="0" w:color="auto"/>
        <w:right w:val="none" w:sz="0" w:space="0" w:color="auto"/>
      </w:divBdr>
    </w:div>
    <w:div w:id="274794022">
      <w:bodyDiv w:val="1"/>
      <w:marLeft w:val="0"/>
      <w:marRight w:val="0"/>
      <w:marTop w:val="0"/>
      <w:marBottom w:val="0"/>
      <w:divBdr>
        <w:top w:val="none" w:sz="0" w:space="0" w:color="auto"/>
        <w:left w:val="none" w:sz="0" w:space="0" w:color="auto"/>
        <w:bottom w:val="none" w:sz="0" w:space="0" w:color="auto"/>
        <w:right w:val="none" w:sz="0" w:space="0" w:color="auto"/>
      </w:divBdr>
    </w:div>
    <w:div w:id="659626711">
      <w:bodyDiv w:val="1"/>
      <w:marLeft w:val="0"/>
      <w:marRight w:val="0"/>
      <w:marTop w:val="0"/>
      <w:marBottom w:val="0"/>
      <w:divBdr>
        <w:top w:val="none" w:sz="0" w:space="0" w:color="auto"/>
        <w:left w:val="none" w:sz="0" w:space="0" w:color="auto"/>
        <w:bottom w:val="none" w:sz="0" w:space="0" w:color="auto"/>
        <w:right w:val="none" w:sz="0" w:space="0" w:color="auto"/>
      </w:divBdr>
    </w:div>
    <w:div w:id="1152520672">
      <w:bodyDiv w:val="1"/>
      <w:marLeft w:val="0"/>
      <w:marRight w:val="0"/>
      <w:marTop w:val="0"/>
      <w:marBottom w:val="0"/>
      <w:divBdr>
        <w:top w:val="none" w:sz="0" w:space="0" w:color="auto"/>
        <w:left w:val="none" w:sz="0" w:space="0" w:color="auto"/>
        <w:bottom w:val="none" w:sz="0" w:space="0" w:color="auto"/>
        <w:right w:val="none" w:sz="0" w:space="0" w:color="auto"/>
      </w:divBdr>
    </w:div>
    <w:div w:id="1161507414">
      <w:bodyDiv w:val="1"/>
      <w:marLeft w:val="0"/>
      <w:marRight w:val="0"/>
      <w:marTop w:val="0"/>
      <w:marBottom w:val="0"/>
      <w:divBdr>
        <w:top w:val="none" w:sz="0" w:space="0" w:color="auto"/>
        <w:left w:val="none" w:sz="0" w:space="0" w:color="auto"/>
        <w:bottom w:val="none" w:sz="0" w:space="0" w:color="auto"/>
        <w:right w:val="none" w:sz="0" w:space="0" w:color="auto"/>
      </w:divBdr>
    </w:div>
    <w:div w:id="1464958002">
      <w:bodyDiv w:val="1"/>
      <w:marLeft w:val="0"/>
      <w:marRight w:val="0"/>
      <w:marTop w:val="0"/>
      <w:marBottom w:val="0"/>
      <w:divBdr>
        <w:top w:val="none" w:sz="0" w:space="0" w:color="auto"/>
        <w:left w:val="none" w:sz="0" w:space="0" w:color="auto"/>
        <w:bottom w:val="none" w:sz="0" w:space="0" w:color="auto"/>
        <w:right w:val="none" w:sz="0" w:space="0" w:color="auto"/>
      </w:divBdr>
    </w:div>
    <w:div w:id="1481532963">
      <w:bodyDiv w:val="1"/>
      <w:marLeft w:val="0"/>
      <w:marRight w:val="0"/>
      <w:marTop w:val="0"/>
      <w:marBottom w:val="0"/>
      <w:divBdr>
        <w:top w:val="none" w:sz="0" w:space="0" w:color="auto"/>
        <w:left w:val="none" w:sz="0" w:space="0" w:color="auto"/>
        <w:bottom w:val="none" w:sz="0" w:space="0" w:color="auto"/>
        <w:right w:val="none" w:sz="0" w:space="0" w:color="auto"/>
      </w:divBdr>
    </w:div>
    <w:div w:id="1889802018">
      <w:bodyDiv w:val="1"/>
      <w:marLeft w:val="0"/>
      <w:marRight w:val="0"/>
      <w:marTop w:val="0"/>
      <w:marBottom w:val="0"/>
      <w:divBdr>
        <w:top w:val="none" w:sz="0" w:space="0" w:color="auto"/>
        <w:left w:val="none" w:sz="0" w:space="0" w:color="auto"/>
        <w:bottom w:val="none" w:sz="0" w:space="0" w:color="auto"/>
        <w:right w:val="none" w:sz="0" w:space="0" w:color="auto"/>
      </w:divBdr>
    </w:div>
    <w:div w:id="1971587767">
      <w:bodyDiv w:val="1"/>
      <w:marLeft w:val="0"/>
      <w:marRight w:val="0"/>
      <w:marTop w:val="0"/>
      <w:marBottom w:val="0"/>
      <w:divBdr>
        <w:top w:val="none" w:sz="0" w:space="0" w:color="auto"/>
        <w:left w:val="none" w:sz="0" w:space="0" w:color="auto"/>
        <w:bottom w:val="none" w:sz="0" w:space="0" w:color="auto"/>
        <w:right w:val="none" w:sz="0" w:space="0" w:color="auto"/>
      </w:divBdr>
    </w:div>
    <w:div w:id="21433759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C56AE1-A3A1-49BC-98D7-F7019DD59B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560</Words>
  <Characters>3027</Characters>
  <Application>Microsoft Office Word</Application>
  <DocSecurity>0</DocSecurity>
  <Lines>25</Lines>
  <Paragraphs>7</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Bold Ogilvy</Company>
  <LinksUpToDate>false</LinksUpToDate>
  <CharactersWithSpaces>3580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Φανή Κυριάκου</dc:creator>
  <cp:lastModifiedBy>Rineta</cp:lastModifiedBy>
  <cp:revision>2</cp:revision>
  <cp:lastPrinted>2015-10-13T09:17:00Z</cp:lastPrinted>
  <dcterms:created xsi:type="dcterms:W3CDTF">2017-01-09T17:22:00Z</dcterms:created>
  <dcterms:modified xsi:type="dcterms:W3CDTF">2017-01-09T17:22:00Z</dcterms:modified>
</cp:coreProperties>
</file>